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全国各地区建筑业总产值和施工、竣工面积及排序（2011-2018）</w:t>
      </w:r>
    </w:p>
    <w:p>
      <w:r>
        <w:rPr>
          <w:sz w:val="22"/>
        </w:rPr>
        <w:t>英文标题：Total output value, construction and completion area and ranking of construction industry in different regions of China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建筑业总产值和施工、竣工面积及排序（2011-2018）的统计数据，数据是按年份进行划分的。数据整理自青海省统计局发布的青海省统计年鉴。数据集包含8个数据表，各数据表结构相同。例如2018年的数据表共有4个字段：</w:t>
        <w:br/>
        <w:t>字段1：地区</w:t>
        <w:br/>
        <w:t>字段2：建筑业总产值</w:t>
        <w:br/>
        <w:t>字段3：施工面积</w:t>
        <w:br/>
        <w:t>字段4：竣工面积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工业总产值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建筑施工与竣工面积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全国各地区建筑业总产值和施工、竣工面积及排序（2011-2018）. 时空三极环境大数据平台, </w:t>
      </w:r>
      <w:r>
        <w:t>2021</w:t>
      </w:r>
      <w:r>
        <w:t>.[</w:t>
      </w:r>
      <w:r>
        <w:t xml:space="preserve">Qinghai Provincial Bureau of Statistics. Total output value, construction and completion area and ranking of construction industry in different regions of China (2011-2018).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