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青海省一体化住户调查主要指标（2013-2020）</w:t>
      </w:r>
    </w:p>
    <w:p>
      <w:r>
        <w:rPr>
          <w:sz w:val="22"/>
        </w:rPr>
        <w:t>英文标题：Main indicators of integrated household survey in Qinghai Province (2013-2020)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"该数据集记录了2013年-2020年青海省一体化住户调查主要指标，数据按年份进行划分，一体化住户调查内容包括：人均可支配收入、人均可支配收入增长速度、人均消费支出、人均消费支出增长速度、城乡居民收入比等。数据整理自青海省统计局发布的青海省统计年鉴。数据集包含6个数据表，各数据表结构相同。例如2013-2014年的数据表共有3个字段：</w:t>
        <w:br/>
        <w:t>字段1：指标</w:t>
        <w:br/>
        <w:t>字段2：2013</w:t>
        <w:br/>
        <w:t>字段3：2014"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人均可支配收入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人均消费支出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2013-2020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青海省一体化住户调查主要指标（2013-2020）. 时空三极环境大数据平台, </w:t>
      </w:r>
      <w:r>
        <w:t>2021</w:t>
      </w:r>
      <w:r>
        <w:t>.[</w:t>
      </w:r>
      <w:r>
        <w:t xml:space="preserve">Qinghai Provincial Bureau of Statistics. Main indicators of integrated household survey in Qinghai Province (2013-2020).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