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青海省城镇居民人均可支配收入及指数（1992-2004）</w:t>
      </w:r>
    </w:p>
    <w:p>
      <w:r>
        <w:rPr>
          <w:sz w:val="22"/>
        </w:rPr>
        <w:t>英文标题：Per capita disposable income and index of urban residents in Qinghai Province (1992-2004)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人均可支配收入及指数(1992-2004)，数据是按地区进行划分的。数据整理自青海省统计局发布的青海省统计年鉴。数据集包含13个数据表，各数据表结构相同。例如1992-2004年的数据表共有4个字段：</w:t>
        <w:br/>
        <w:t>字段1：年份</w:t>
        <w:br/>
        <w:t xml:space="preserve">字段2：可支配收入 </w:t>
        <w:br/>
        <w:t>字段3：同比指数</w:t>
        <w:br/>
        <w:t>字段4：定比指数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青海省城镇居民人均可支配收入及指数（1992-2004）. 时空三极环境大数据平台, </w:t>
      </w:r>
      <w:r>
        <w:t>2021</w:t>
      </w:r>
      <w:r>
        <w:t>.[</w:t>
      </w:r>
      <w:r>
        <w:t xml:space="preserve">Qinghai Provincial Bureau of Statistics. Per capita disposable income and index of urban residents in Qinghai Province (1992-2004).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