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沙冬青干旱胁迫响应的转录组学特征</w:t>
      </w:r>
    </w:p>
    <w:p>
      <w:r>
        <w:rPr>
          <w:sz w:val="22"/>
        </w:rPr>
        <w:t>英文标题：Drought-response transcriptome of ammopiptanthus mongolicus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通过Hiseq2000对沙冬青叶片和根系进行高通量转录组测序，发现了44959个unigene。并通过数据库比对，对其中的43192个unigene进行功能注释。发现干旱处理下，在叶片和根中差异表达的基因（表达量上调或下调2倍以上）分别有1035个和1210个。这些差异表达的基因集中于与物质运输、胁迫响应以及代谢过程，分子结构活性等方面。鉴定出干旱胁迫下差异表达的（专一性）响应基因40个。通过对沙冬青转录因子的分析，还发现沙冬青包含50个转录因子家族，1575个转录因子。在叶片中7个转录因子表达量上升，50个下降；在根中有11上升，33个下降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沙冬青</w:t>
      </w:r>
      <w:r>
        <w:t>,</w:t>
      </w:r>
      <w:r>
        <w:rPr>
          <w:sz w:val="22"/>
        </w:rPr>
        <w:t>生理指标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3.文件大小：1.02MB</w:t>
      </w:r>
    </w:p>
    <w:p>
      <w:pPr>
        <w:ind w:left="432"/>
      </w:pPr>
      <w:r>
        <w:rPr>
          <w:sz w:val="22"/>
        </w:rPr>
        <w:t>4.数据格式：PDF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北：38.62545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西：103.10507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东：103.10507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南：38.62545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2018-11-19 10:48:30+00:00</w:t>
      </w:r>
      <w:r>
        <w:rPr>
          <w:sz w:val="22"/>
        </w:rPr>
        <w:t>--</w:t>
      </w:r>
      <w:r>
        <w:rPr>
          <w:sz w:val="22"/>
        </w:rPr>
        <w:t>2018-11-19 10:48:30+00:00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苏彦华. 沙冬青干旱胁迫响应的转录组学特征. 时空三极环境大数据平台, DOI:doi:10.3972/heihe.096.2013.db, CSTR:18406.11.heihe.096.201, </w:t>
      </w:r>
      <w:r>
        <w:t>2016</w:t>
      </w:r>
      <w:r>
        <w:t>.[</w:t>
      </w:r>
      <w:r>
        <w:t xml:space="preserve">SU  Yanhua. Drought-response transcriptome of ammopiptanthus mongolicus. A Big Earth Data Platform for Three Poles, DOI:doi:10.3972/heihe.096.2013.db, CSTR:18406.11.heihe.096.201,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干旱环境下植物水分利用特征及其适应水分胁迫的分子机制研究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苏彦华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yhsu@issas.ac.cn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