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中国地区（包括第三极）银行和货币数据集（2000-2020）</w:t>
      </w:r>
    </w:p>
    <w:p>
      <w:r>
        <w:rPr>
          <w:sz w:val="22"/>
        </w:rPr>
        <w:t>英文标题：Banking and currency data sets for China (including the third pole) 2000-2020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数据内容：央行黄金和外汇储备(2000-2020)</w:t>
        <w:tab/>
        <w:t>及货币供应量(2000-2017)</w:t>
        <w:tab/>
        <w:tab/>
        <w:tab/>
        <w:tab/>
        <w:tab/>
        <w:tab/>
        <w:tab/>
        <w:tab/>
        <w:tab/>
        <w:tab/>
        <w:tab/>
        <w:br/>
        <w:t>数据来源及加工方法：从世界银行官方网站、新浪网获取2015-2019年中国地区（包括第三极）银行和货币原始数据，通过数据整理、筛选及清洗得到2000-2020年中国地区（包括第三极）银行和货币数据集，数据起始时间为2000年至2020年，Microsoft Excel (xlsx)格式。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中国地区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2000-01-02 16:00:00+00:00</w:t>
      </w:r>
      <w:r>
        <w:rPr>
          <w:sz w:val="22"/>
        </w:rPr>
        <w:t>--</w:t>
      </w:r>
      <w:r>
        <w:rPr>
          <w:sz w:val="22"/>
        </w:rPr>
        <w:t>2020-07-01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傅文学. 中国地区（包括第三极）银行和货币数据集（2000-2020）. 时空三极环境大数据平台, </w:t>
      </w:r>
      <w:r>
        <w:t>2020</w:t>
      </w:r>
      <w:r>
        <w:t>.[</w:t>
      </w:r>
      <w:r>
        <w:t xml:space="preserve">FU Wenxue. Banking and currency data sets for China (including the third pole) 2000-2020.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傅文学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中国科学院空天院</w:t>
        <w:br/>
      </w:r>
      <w:r>
        <w:rPr>
          <w:sz w:val="22"/>
        </w:rPr>
        <w:t xml:space="preserve">电子邮件: </w:t>
      </w:r>
      <w:r>
        <w:rPr>
          <w:sz w:val="22"/>
        </w:rPr>
        <w:t>fuwx@radi.ac.cn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