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“一带一路”关键节点区域-城市化率（2015）</w:t>
      </w:r>
    </w:p>
    <w:p>
      <w:r>
        <w:rPr>
          <w:sz w:val="22"/>
        </w:rPr>
        <w:t>英文标题：Urbanization rate of the key areas along One Belt One Road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“一带一路”沿线的34个关键节点区域城市化率数据是收集并降尺度而来。首先收集到国家尺度或省级尺度的城市化率统计数据，采用GIS空间分析技术，分析城市化率与夜间灯光NPP-VIIRS、路网密度等协变量的关系，运用空间回归分析方法建立了城市化率与协变量的空间回归模型，得到县级尺度城市化率数据，实现了城市化率的降尺度模拟。基于统计资料和空间分析最终整合成城市化率数据。该数据可为“一带一路”沿线关键节点和区域开展社会经济等研究提供重要的基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城市格局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“一带一路”区域重要节点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3.文件大小：6.82MB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凌峰. “一带一路”关键节点区域-城市化率（2015）. 时空三极环境大数据平台, </w:t>
      </w:r>
      <w:r>
        <w:t>2020</w:t>
      </w:r>
      <w:r>
        <w:t>.[</w:t>
      </w:r>
      <w:r>
        <w:t xml:space="preserve">GE  Yong, LING Feng. Urbanization rate of the key areas along One Belt One Road (2015). A Big Earth Data Platform for Three Poles,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凌峰</w:t>
        <w:br/>
      </w:r>
      <w:r>
        <w:rPr>
          <w:sz w:val="22"/>
        </w:rPr>
        <w:t xml:space="preserve">单位: </w:t>
      </w:r>
      <w:r>
        <w:rPr>
          <w:sz w:val="22"/>
        </w:rPr>
        <w:t>中国科学院精密测量院</w:t>
        <w:br/>
      </w:r>
      <w:r>
        <w:rPr>
          <w:sz w:val="22"/>
        </w:rPr>
        <w:t xml:space="preserve">电子邮件: </w:t>
      </w:r>
      <w:r>
        <w:rPr>
          <w:sz w:val="22"/>
        </w:rPr>
        <w:t>lingfeng@apm.ac/cn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