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全国各地区农业总产值和增长率及排序（2001-2018）</w:t>
      </w:r>
    </w:p>
    <w:p>
      <w:r>
        <w:rPr>
          <w:sz w:val="22"/>
        </w:rPr>
        <w:t>英文标题：Total agricultural output value, growth rate and ranking of all regions in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农业总产值和增长率及排序（2001-2018）的统计数据，数据是按年份进行划分的。数据整理自青海省统计局发布的青海省统计年鉴。数据集包含17个数据表，各数据表结构相同。例如2018年的数据表共有4个字段：</w:t>
        <w:br/>
        <w:t>字段1：地  区</w:t>
        <w:br/>
        <w:t>字段2：农林牧渔业总产值</w:t>
        <w:br/>
        <w:t>字段3：农业产值</w:t>
        <w:br/>
        <w:t>字段4：牧业产值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全国各地区农业总产值和增长率及排序（2001-2018）. 时空三极环境大数据平台, </w:t>
      </w:r>
      <w:r>
        <w:t>2021</w:t>
      </w:r>
      <w:r>
        <w:t>.[</w:t>
      </w:r>
      <w:r>
        <w:t xml:space="preserve">Qinghai Provincial Bureau of Statistics. Total agricultural output value, growth rate and ranking of all regions in China (2001-2018).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